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A751E9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5pt;height:59.55pt" o:ole="">
            <v:imagedata r:id="rId8" o:title=""/>
          </v:shape>
          <o:OLEObject Type="Embed" ProgID="Word.Picture.8" ShapeID="_x0000_i1025" DrawAspect="Content" ObjectID="_1823172053" r:id="rId9"/>
        </w:object>
      </w:r>
    </w:p>
    <w:p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8D3B4D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B96EC7" w:rsidRPr="009A3C26" w:rsidRDefault="00B96EC7" w:rsidP="00B96EC7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20"/>
          <w:szCs w:val="20"/>
          <w:lang w:eastAsia="zh-CN"/>
        </w:rPr>
      </w:pP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ini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dimaklumkan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bahawa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tarikh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tutup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bagi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sebutharga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dibawah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pada </w:t>
      </w:r>
      <w:r>
        <w:rPr>
          <w:rFonts w:ascii="Arial" w:eastAsia="KaiTi" w:hAnsi="Arial" w:cs="Arial"/>
          <w:sz w:val="20"/>
          <w:szCs w:val="20"/>
          <w:lang w:eastAsia="zh-CN"/>
        </w:rPr>
        <w:t xml:space="preserve">22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Oktober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2025</w:t>
      </w:r>
      <w:r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sz w:val="20"/>
          <w:szCs w:val="20"/>
          <w:lang w:eastAsia="zh-CN"/>
        </w:rPr>
        <w:t>ini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sz w:val="20"/>
          <w:szCs w:val="20"/>
          <w:lang w:eastAsia="zh-CN"/>
        </w:rPr>
        <w:t>dipanjangkan</w:t>
      </w:r>
      <w:proofErr w:type="spellEnd"/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sz w:val="20"/>
          <w:szCs w:val="20"/>
          <w:lang w:eastAsia="zh-CN"/>
        </w:rPr>
        <w:t>sehingga</w:t>
      </w:r>
      <w:proofErr w:type="spellEnd"/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r>
        <w:rPr>
          <w:rFonts w:ascii="Arial" w:eastAsia="KaiTi" w:hAnsi="Arial" w:cs="Arial"/>
          <w:b/>
          <w:sz w:val="20"/>
          <w:szCs w:val="20"/>
          <w:lang w:eastAsia="zh-CN"/>
        </w:rPr>
        <w:t>05 November</w:t>
      </w:r>
      <w:r>
        <w:rPr>
          <w:rFonts w:ascii="Arial" w:eastAsia="KaiTi" w:hAnsi="Arial" w:cs="Arial"/>
          <w:b/>
          <w:sz w:val="20"/>
          <w:szCs w:val="20"/>
          <w:lang w:eastAsia="zh-CN"/>
        </w:rPr>
        <w:t xml:space="preserve"> 2025.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>–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penender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pelawa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untuk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mengemukakan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bagi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0</w:t>
      </w:r>
      <w:r>
        <w:rPr>
          <w:rFonts w:ascii="Arial" w:eastAsia="KaiTi" w:hAnsi="Arial" w:cs="Arial"/>
          <w:sz w:val="20"/>
          <w:szCs w:val="20"/>
          <w:lang w:eastAsia="zh-CN"/>
        </w:rPr>
        <w:t xml:space="preserve">1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kerja-kerja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berikut</w:t>
      </w:r>
      <w:proofErr w:type="spellEnd"/>
      <w:r>
        <w:rPr>
          <w:rFonts w:ascii="Arial" w:eastAsia="KaiTi" w:hAnsi="Arial" w:cs="Arial"/>
          <w:sz w:val="20"/>
          <w:szCs w:val="20"/>
          <w:lang w:eastAsia="zh-CN"/>
        </w:rPr>
        <w:t>:</w:t>
      </w:r>
    </w:p>
    <w:p w:rsidR="008D3B4D" w:rsidRPr="00E71A23" w:rsidRDefault="008D3B4D" w:rsidP="00B96EC7">
      <w:pPr>
        <w:spacing w:after="0"/>
        <w:jc w:val="both"/>
        <w:rPr>
          <w:rFonts w:ascii="Footlight MT Light" w:eastAsia="KaiTi" w:hAnsi="Footlight MT Light" w:cs="Consolas"/>
          <w:b/>
          <w:bCs/>
          <w:u w:val="single"/>
          <w:lang w:eastAsia="zh-CN"/>
        </w:rPr>
      </w:pPr>
    </w:p>
    <w:p w:rsidR="008D3B4D" w:rsidRDefault="008F2C87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  <w:r>
        <w:rPr>
          <w:rFonts w:ascii="Arial" w:eastAsia="KaiTi" w:hAnsi="Arial" w:cs="Arial"/>
          <w:b/>
          <w:u w:val="single"/>
          <w:lang w:eastAsia="zh-CN"/>
        </w:rPr>
        <w:t>005/H</w:t>
      </w:r>
      <w:bookmarkStart w:id="0" w:name="_GoBack"/>
      <w:bookmarkEnd w:id="0"/>
      <w:r>
        <w:rPr>
          <w:rFonts w:ascii="Arial" w:eastAsia="KaiTi" w:hAnsi="Arial" w:cs="Arial"/>
          <w:b/>
          <w:u w:val="single"/>
          <w:lang w:eastAsia="zh-CN"/>
        </w:rPr>
        <w:t>P100.2021/LOG [2025/HQ/MISC-(106)]</w:t>
      </w:r>
    </w:p>
    <w:p w:rsidR="00505407" w:rsidRDefault="00505407" w:rsidP="00505407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  <w:r>
        <w:rPr>
          <w:rFonts w:ascii="Arial" w:eastAsia="KaiTi" w:hAnsi="Arial" w:cs="Arial"/>
          <w:b/>
          <w:u w:val="single"/>
          <w:lang w:eastAsia="zh-CN"/>
        </w:rPr>
        <w:t xml:space="preserve">TAWARAN </w:t>
      </w:r>
      <w:r w:rsidR="008F2C87">
        <w:rPr>
          <w:rFonts w:ascii="Arial" w:eastAsia="KaiTi" w:hAnsi="Arial" w:cs="Arial"/>
          <w:b/>
          <w:u w:val="single"/>
          <w:lang w:eastAsia="zh-CN"/>
        </w:rPr>
        <w:t>SEBUTHARGA BAGI PERCETAKAN BUKU SEJARAH SEMPENA SAMBUTAN 100 TAHUN PENUBUHAN PASUKAN POLIS DIRAJA BRUNEI</w:t>
      </w:r>
    </w:p>
    <w:p w:rsidR="00385584" w:rsidRDefault="00385584" w:rsidP="00505407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u w:val="single"/>
          <w:lang w:eastAsia="zh-CN"/>
        </w:rPr>
      </w:pPr>
    </w:p>
    <w:p w:rsidR="00B96EC7" w:rsidRPr="009A3C26" w:rsidRDefault="00B96EC7" w:rsidP="00B96EC7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Pemohon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adalah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dipelawa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syarikat-syarikat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pembekal-pembekal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berdaftar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dengan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Kerajaan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Kebawah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Duli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Maha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Mulia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Paduka Seri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Baginda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Sultan dan Yang Di-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Pertuan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Negara Brunei Darussalam.</w:t>
      </w:r>
    </w:p>
    <w:p w:rsidR="00B96EC7" w:rsidRPr="009A3C26" w:rsidRDefault="00B96EC7" w:rsidP="00B96EC7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:rsidR="00B96EC7" w:rsidRPr="009A3C26" w:rsidRDefault="00B96EC7" w:rsidP="00B96EC7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Borang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disertakan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salinan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Sijil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16 &amp; 17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masih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menyenaraikan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butir-butir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perniagaan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seperti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nama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bilangan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pendaftaran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negeri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asal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nombor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kad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pengenalan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atau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passport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pemilik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>.</w:t>
      </w: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:rsidR="00B96EC7" w:rsidRPr="009A3C26" w:rsidRDefault="00B96EC7" w:rsidP="00B96EC7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Dokumen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boleh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perolehi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daripada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Unit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Pembelian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Perbekalan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Tingkat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Bawah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Gadong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pada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waktu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bekerja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iaitu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Hari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Isnin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Hari Khamis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2.00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3.00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dan Hari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Sabtu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dari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 8.00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hingga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11.30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Pagi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20"/>
          <w:szCs w:val="20"/>
          <w:u w:val="single"/>
          <w:lang w:eastAsia="zh-CN"/>
        </w:rPr>
      </w:pP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sz w:val="20"/>
          <w:szCs w:val="20"/>
          <w:lang w:eastAsia="zh-CN"/>
        </w:rPr>
        <w:t>4</w:t>
      </w:r>
      <w:r w:rsidRPr="009A3C26">
        <w:rPr>
          <w:rFonts w:ascii="Arial" w:eastAsia="KaiTi" w:hAnsi="Arial" w:cs="Arial"/>
          <w:sz w:val="20"/>
          <w:szCs w:val="20"/>
          <w:lang w:eastAsia="zh-CN"/>
        </w:rPr>
        <w:t>.</w:t>
      </w:r>
      <w:r w:rsidRPr="009A3C26">
        <w:rPr>
          <w:rFonts w:ascii="Arial" w:eastAsia="KaiTi" w:hAnsi="Arial" w:cs="Arial"/>
          <w:sz w:val="20"/>
          <w:szCs w:val="20"/>
          <w:lang w:eastAsia="zh-CN"/>
        </w:rPr>
        <w:tab/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–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hendaklah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dikembalikan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dihantar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ke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alamat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tersebut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dibawah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dalam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sampul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surat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tertutup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dengan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ditulis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bilangan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nama</w:t>
      </w:r>
      <w:proofErr w:type="spellEnd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tanpa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menunjukkan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identiti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sz w:val="20"/>
          <w:szCs w:val="20"/>
          <w:lang w:eastAsia="zh-CN"/>
        </w:rPr>
        <w:t>pemborong</w:t>
      </w:r>
      <w:proofErr w:type="spellEnd"/>
      <w:r w:rsidRPr="009A3C26">
        <w:rPr>
          <w:rFonts w:ascii="Arial" w:eastAsia="KaiTi" w:hAnsi="Arial" w:cs="Arial"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lewat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jam: 2.00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petang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,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hari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Rabu, </w:t>
      </w:r>
      <w:r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05 November</w:t>
      </w:r>
      <w:r w:rsidRPr="009A3C26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 xml:space="preserve"> 202</w:t>
      </w:r>
      <w:r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5</w:t>
      </w:r>
      <w:r w:rsidRPr="009A3C26"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  <w:t>.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20"/>
          <w:szCs w:val="20"/>
          <w:lang w:eastAsia="zh-CN"/>
        </w:rPr>
      </w:pP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Peti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Sebutharga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Ibu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Pejabat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 Jalan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Tungku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,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(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Bangunan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Baru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),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Pasukan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Diraja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Brunei,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Bandar Seri Begawan,</w:t>
      </w:r>
    </w:p>
    <w:p w:rsidR="00B96EC7" w:rsidRPr="009A3C26" w:rsidRDefault="00B96EC7" w:rsidP="00B96EC7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Negara Brunei Darussalam.</w:t>
      </w: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u w:val="single"/>
          <w:lang w:eastAsia="zh-CN"/>
        </w:rPr>
      </w:pP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5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  <w:t xml:space="preserve">Mana-mana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diterima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selepas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dan masa yang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ditetapkan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akan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dilayan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.</w:t>
      </w: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6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  <w:t xml:space="preserve">Mana-mana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terima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tertutup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atau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masukkan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dalam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sampul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surat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tetapi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tulis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bilangan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dan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nama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tawaran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juga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akan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layan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</w:p>
    <w:p w:rsidR="00B96EC7" w:rsidRPr="009A3C26" w:rsidRDefault="00B96EC7" w:rsidP="00B96EC7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20"/>
          <w:szCs w:val="20"/>
          <w:lang w:eastAsia="zh-CN"/>
        </w:rPr>
      </w:pPr>
      <w:r>
        <w:rPr>
          <w:rFonts w:ascii="Arial" w:eastAsia="KaiTi" w:hAnsi="Arial" w:cs="Arial"/>
          <w:bCs/>
          <w:sz w:val="20"/>
          <w:szCs w:val="20"/>
          <w:lang w:eastAsia="zh-CN"/>
        </w:rPr>
        <w:t>7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ab/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Borang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sebutharga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hendaklah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dikembalikan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ke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Ibu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Pejabat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Polis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Gadong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, Jalan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Tungku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jika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sekiranya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Syarikat Tuan/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Puan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tidak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dapat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menawarkan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>harga</w:t>
      </w:r>
      <w:proofErr w:type="spellEnd"/>
      <w:r w:rsidRPr="009A3C26">
        <w:rPr>
          <w:rFonts w:ascii="Arial" w:eastAsia="KaiTi" w:hAnsi="Arial" w:cs="Arial"/>
          <w:b/>
          <w:bCs/>
          <w:sz w:val="20"/>
          <w:szCs w:val="20"/>
          <w:lang w:eastAsia="zh-CN"/>
        </w:rPr>
        <w:t xml:space="preserve"> (No quote) </w:t>
      </w:r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pada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tarikh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tutup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yang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nyatakan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 xml:space="preserve"> di </w:t>
      </w:r>
      <w:proofErr w:type="spellStart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atas</w:t>
      </w:r>
      <w:proofErr w:type="spellEnd"/>
      <w:r w:rsidRPr="009A3C26">
        <w:rPr>
          <w:rFonts w:ascii="Arial" w:eastAsia="KaiTi" w:hAnsi="Arial" w:cs="Arial"/>
          <w:bCs/>
          <w:sz w:val="20"/>
          <w:szCs w:val="20"/>
          <w:lang w:eastAsia="zh-CN"/>
        </w:rPr>
        <w:t>.</w:t>
      </w:r>
    </w:p>
    <w:p w:rsidR="005F3885" w:rsidRDefault="005F3885" w:rsidP="001B57F3">
      <w:pPr>
        <w:tabs>
          <w:tab w:val="left" w:pos="630"/>
          <w:tab w:val="left" w:pos="720"/>
        </w:tabs>
        <w:spacing w:after="0"/>
        <w:ind w:left="630" w:hanging="630"/>
        <w:rPr>
          <w:rFonts w:ascii="Arial" w:eastAsia="KaiTi" w:hAnsi="Arial" w:cs="Arial"/>
          <w:bCs/>
          <w:lang w:eastAsia="zh-CN"/>
        </w:rPr>
      </w:pPr>
    </w:p>
    <w:sectPr w:rsidR="005F3885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45" w:rsidRDefault="009A7F45" w:rsidP="00B054A5">
      <w:pPr>
        <w:spacing w:after="0" w:line="240" w:lineRule="auto"/>
      </w:pPr>
      <w:r>
        <w:separator/>
      </w:r>
    </w:p>
  </w:endnote>
  <w:endnote w:type="continuationSeparator" w:id="0">
    <w:p w:rsidR="009A7F45" w:rsidRDefault="009A7F45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45" w:rsidRDefault="009A7F45" w:rsidP="00B054A5">
      <w:pPr>
        <w:spacing w:after="0" w:line="240" w:lineRule="auto"/>
      </w:pPr>
      <w:r>
        <w:separator/>
      </w:r>
    </w:p>
  </w:footnote>
  <w:footnote w:type="continuationSeparator" w:id="0">
    <w:p w:rsidR="009A7F45" w:rsidRDefault="009A7F45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DAB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1685B"/>
    <w:rsid w:val="00022262"/>
    <w:rsid w:val="00032008"/>
    <w:rsid w:val="00083DD8"/>
    <w:rsid w:val="000A251A"/>
    <w:rsid w:val="001004A7"/>
    <w:rsid w:val="001079E3"/>
    <w:rsid w:val="00114B85"/>
    <w:rsid w:val="00124E67"/>
    <w:rsid w:val="00134018"/>
    <w:rsid w:val="00140549"/>
    <w:rsid w:val="00152E92"/>
    <w:rsid w:val="00186A0E"/>
    <w:rsid w:val="00187010"/>
    <w:rsid w:val="00193DE9"/>
    <w:rsid w:val="001B36A2"/>
    <w:rsid w:val="001B57F3"/>
    <w:rsid w:val="001C2DBE"/>
    <w:rsid w:val="002148F9"/>
    <w:rsid w:val="00217699"/>
    <w:rsid w:val="00225094"/>
    <w:rsid w:val="00250BBC"/>
    <w:rsid w:val="00264171"/>
    <w:rsid w:val="00275A5D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327690"/>
    <w:rsid w:val="00333671"/>
    <w:rsid w:val="00344CC2"/>
    <w:rsid w:val="003518CD"/>
    <w:rsid w:val="00372BFD"/>
    <w:rsid w:val="00383605"/>
    <w:rsid w:val="00385584"/>
    <w:rsid w:val="003A4F3F"/>
    <w:rsid w:val="003C0A7D"/>
    <w:rsid w:val="003C255F"/>
    <w:rsid w:val="003D246E"/>
    <w:rsid w:val="003D4A9F"/>
    <w:rsid w:val="003E1A9D"/>
    <w:rsid w:val="00405AAD"/>
    <w:rsid w:val="00451C6A"/>
    <w:rsid w:val="00453622"/>
    <w:rsid w:val="004708B3"/>
    <w:rsid w:val="004858C1"/>
    <w:rsid w:val="004A1A4B"/>
    <w:rsid w:val="004A6413"/>
    <w:rsid w:val="004B55E3"/>
    <w:rsid w:val="004B55FE"/>
    <w:rsid w:val="004D7A82"/>
    <w:rsid w:val="00505407"/>
    <w:rsid w:val="00507D2F"/>
    <w:rsid w:val="00523DA1"/>
    <w:rsid w:val="00534359"/>
    <w:rsid w:val="005629AE"/>
    <w:rsid w:val="005909EE"/>
    <w:rsid w:val="005957F9"/>
    <w:rsid w:val="005A3448"/>
    <w:rsid w:val="005B7A59"/>
    <w:rsid w:val="005D6846"/>
    <w:rsid w:val="005E7378"/>
    <w:rsid w:val="005E77A5"/>
    <w:rsid w:val="005F3885"/>
    <w:rsid w:val="00603530"/>
    <w:rsid w:val="006123D7"/>
    <w:rsid w:val="0062702D"/>
    <w:rsid w:val="00640328"/>
    <w:rsid w:val="0065004D"/>
    <w:rsid w:val="00671EE5"/>
    <w:rsid w:val="00675462"/>
    <w:rsid w:val="00686DD8"/>
    <w:rsid w:val="006A5BB1"/>
    <w:rsid w:val="006B1E9F"/>
    <w:rsid w:val="006C142B"/>
    <w:rsid w:val="006D0DE9"/>
    <w:rsid w:val="006D2252"/>
    <w:rsid w:val="006D4CD2"/>
    <w:rsid w:val="006D7458"/>
    <w:rsid w:val="006F5274"/>
    <w:rsid w:val="00730A80"/>
    <w:rsid w:val="00732F85"/>
    <w:rsid w:val="007443C3"/>
    <w:rsid w:val="00752239"/>
    <w:rsid w:val="00785C26"/>
    <w:rsid w:val="00791449"/>
    <w:rsid w:val="007B1F90"/>
    <w:rsid w:val="007C1798"/>
    <w:rsid w:val="007C785C"/>
    <w:rsid w:val="008176CD"/>
    <w:rsid w:val="008431C1"/>
    <w:rsid w:val="00844EB5"/>
    <w:rsid w:val="00860F3E"/>
    <w:rsid w:val="00873476"/>
    <w:rsid w:val="008819A6"/>
    <w:rsid w:val="00882C86"/>
    <w:rsid w:val="008848E6"/>
    <w:rsid w:val="008850F9"/>
    <w:rsid w:val="008A1485"/>
    <w:rsid w:val="008B6674"/>
    <w:rsid w:val="008D3B4D"/>
    <w:rsid w:val="008E32CC"/>
    <w:rsid w:val="008F1857"/>
    <w:rsid w:val="008F2C87"/>
    <w:rsid w:val="008F6183"/>
    <w:rsid w:val="0091444D"/>
    <w:rsid w:val="00921597"/>
    <w:rsid w:val="00926A61"/>
    <w:rsid w:val="00932A0A"/>
    <w:rsid w:val="00940ED3"/>
    <w:rsid w:val="0095283D"/>
    <w:rsid w:val="00956880"/>
    <w:rsid w:val="00962A10"/>
    <w:rsid w:val="009832C4"/>
    <w:rsid w:val="00993C77"/>
    <w:rsid w:val="009A4B90"/>
    <w:rsid w:val="009A7F45"/>
    <w:rsid w:val="009B2681"/>
    <w:rsid w:val="009B70F7"/>
    <w:rsid w:val="009B7E43"/>
    <w:rsid w:val="009D490C"/>
    <w:rsid w:val="009E604A"/>
    <w:rsid w:val="00A40416"/>
    <w:rsid w:val="00A4120D"/>
    <w:rsid w:val="00A4432E"/>
    <w:rsid w:val="00A725BB"/>
    <w:rsid w:val="00A74C42"/>
    <w:rsid w:val="00A751E9"/>
    <w:rsid w:val="00AA5579"/>
    <w:rsid w:val="00AE2C74"/>
    <w:rsid w:val="00AF4D95"/>
    <w:rsid w:val="00B01966"/>
    <w:rsid w:val="00B01CE8"/>
    <w:rsid w:val="00B054A5"/>
    <w:rsid w:val="00B44646"/>
    <w:rsid w:val="00B5010E"/>
    <w:rsid w:val="00B63BB3"/>
    <w:rsid w:val="00B734B4"/>
    <w:rsid w:val="00B96EC7"/>
    <w:rsid w:val="00BB4EF2"/>
    <w:rsid w:val="00BC42B5"/>
    <w:rsid w:val="00BC4322"/>
    <w:rsid w:val="00BD00A5"/>
    <w:rsid w:val="00BF6761"/>
    <w:rsid w:val="00C17026"/>
    <w:rsid w:val="00C34022"/>
    <w:rsid w:val="00C34023"/>
    <w:rsid w:val="00C46467"/>
    <w:rsid w:val="00C52DFC"/>
    <w:rsid w:val="00C7109D"/>
    <w:rsid w:val="00C85A0A"/>
    <w:rsid w:val="00C918AF"/>
    <w:rsid w:val="00C9673B"/>
    <w:rsid w:val="00CB63D0"/>
    <w:rsid w:val="00CB665D"/>
    <w:rsid w:val="00CC559F"/>
    <w:rsid w:val="00CD0D12"/>
    <w:rsid w:val="00CD6227"/>
    <w:rsid w:val="00CD68C8"/>
    <w:rsid w:val="00D16C49"/>
    <w:rsid w:val="00D30CC2"/>
    <w:rsid w:val="00D3330F"/>
    <w:rsid w:val="00D4522B"/>
    <w:rsid w:val="00D62E7E"/>
    <w:rsid w:val="00D66797"/>
    <w:rsid w:val="00D72CD6"/>
    <w:rsid w:val="00DA2B66"/>
    <w:rsid w:val="00DA3457"/>
    <w:rsid w:val="00DA46A9"/>
    <w:rsid w:val="00DB0732"/>
    <w:rsid w:val="00DB4AA9"/>
    <w:rsid w:val="00DB59F1"/>
    <w:rsid w:val="00E0570C"/>
    <w:rsid w:val="00E11BA5"/>
    <w:rsid w:val="00E1436B"/>
    <w:rsid w:val="00E321B7"/>
    <w:rsid w:val="00E44D52"/>
    <w:rsid w:val="00E553DE"/>
    <w:rsid w:val="00E66A31"/>
    <w:rsid w:val="00E71A23"/>
    <w:rsid w:val="00E819D9"/>
    <w:rsid w:val="00E821D0"/>
    <w:rsid w:val="00E9798B"/>
    <w:rsid w:val="00EA1CBC"/>
    <w:rsid w:val="00EC5F84"/>
    <w:rsid w:val="00ED1496"/>
    <w:rsid w:val="00F07A7A"/>
    <w:rsid w:val="00F127A9"/>
    <w:rsid w:val="00F3191E"/>
    <w:rsid w:val="00F325E8"/>
    <w:rsid w:val="00F33E50"/>
    <w:rsid w:val="00F408F9"/>
    <w:rsid w:val="00F62FD8"/>
    <w:rsid w:val="00F638EA"/>
    <w:rsid w:val="00F830CF"/>
    <w:rsid w:val="00F86CD7"/>
    <w:rsid w:val="00F91024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DEAE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27DDB-5689-42F0-BCDD-66370D624D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516D7-9308-4344-AC8A-F09AE189AA40}"/>
</file>

<file path=customXml/itemProps3.xml><?xml version="1.0" encoding="utf-8"?>
<ds:datastoreItem xmlns:ds="http://schemas.openxmlformats.org/officeDocument/2006/customXml" ds:itemID="{ED153003-C6DA-4BDD-A667-893D4A2DE86D}"/>
</file>

<file path=customXml/itemProps4.xml><?xml version="1.0" encoding="utf-8"?>
<ds:datastoreItem xmlns:ds="http://schemas.openxmlformats.org/officeDocument/2006/customXml" ds:itemID="{06D00B73-5A46-4057-9548-7AA90C7334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Siti Mardimah Bin Md Ardi</cp:lastModifiedBy>
  <cp:revision>2</cp:revision>
  <cp:lastPrinted>2023-08-14T02:43:00Z</cp:lastPrinted>
  <dcterms:created xsi:type="dcterms:W3CDTF">2025-10-28T07:54:00Z</dcterms:created>
  <dcterms:modified xsi:type="dcterms:W3CDTF">2025-10-28T07:54:00Z</dcterms:modified>
</cp:coreProperties>
</file>